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9C" w:rsidRPr="00EC5A9C" w:rsidRDefault="00EC5A9C" w:rsidP="00EC5A9C">
      <w:pPr>
        <w:rPr>
          <w:rFonts w:ascii="HelveticaNeueLT Pro 55 Roman" w:hAnsi="HelveticaNeueLT Pro 55 Roman"/>
          <w:b/>
          <w:color w:val="0B0C0C"/>
          <w:sz w:val="20"/>
          <w:szCs w:val="20"/>
          <w:highlight w:val="white"/>
          <w:u w:val="single"/>
        </w:rPr>
      </w:pPr>
    </w:p>
    <w:p w:rsidR="00EC5A9C" w:rsidRPr="00EC5A9C" w:rsidRDefault="00EC5A9C" w:rsidP="00EC5A9C">
      <w:pPr>
        <w:rPr>
          <w:rFonts w:ascii="HelveticaNeueLT Pro 55 Roman" w:hAnsi="HelveticaNeueLT Pro 55 Roman"/>
          <w:b/>
          <w:color w:val="0B0C0C"/>
          <w:sz w:val="28"/>
          <w:szCs w:val="20"/>
          <w:highlight w:val="white"/>
        </w:rPr>
      </w:pPr>
      <w:r w:rsidRPr="00EC5A9C">
        <w:rPr>
          <w:rFonts w:ascii="HelveticaNeueLT Pro 55 Roman" w:hAnsi="HelveticaNeueLT Pro 55 Roman"/>
          <w:b/>
          <w:color w:val="0B0C0C"/>
          <w:sz w:val="28"/>
          <w:szCs w:val="20"/>
          <w:highlight w:val="white"/>
        </w:rPr>
        <w:t>BUDGET 2020: measures for freelancers and self-employed</w:t>
      </w:r>
    </w:p>
    <w:p w:rsidR="00EC5A9C" w:rsidRPr="00EC5A9C" w:rsidRDefault="00EC5A9C" w:rsidP="00EC5A9C">
      <w:pPr>
        <w:jc w:val="center"/>
        <w:rPr>
          <w:rFonts w:ascii="HelveticaNeueLT Pro 55 Roman" w:hAnsi="HelveticaNeueLT Pro 55 Roman"/>
          <w:b/>
          <w:color w:val="0B0C0C"/>
          <w:sz w:val="28"/>
          <w:szCs w:val="20"/>
          <w:highlight w:val="white"/>
        </w:rPr>
      </w:pPr>
      <w:r w:rsidRPr="00EC5A9C">
        <w:rPr>
          <w:rFonts w:ascii="HelveticaNeueLT Pro 55 Roman" w:hAnsi="HelveticaNeueLT Pro 55 Roman"/>
          <w:b/>
          <w:color w:val="0B0C0C"/>
          <w:sz w:val="28"/>
          <w:szCs w:val="20"/>
          <w:highlight w:val="white"/>
        </w:rPr>
        <w:t>in response to COVID-19</w:t>
      </w:r>
    </w:p>
    <w:p w:rsidR="00EC5A9C" w:rsidRPr="00EC5A9C" w:rsidRDefault="00EC5A9C" w:rsidP="00EC5A9C">
      <w:pPr>
        <w:rPr>
          <w:rFonts w:ascii="HelveticaNeueLT Pro 55 Roman" w:hAnsi="HelveticaNeueLT Pro 55 Roman"/>
          <w:b/>
          <w:color w:val="0B0C0C"/>
          <w:sz w:val="20"/>
          <w:szCs w:val="20"/>
          <w:highlight w:val="white"/>
        </w:rPr>
      </w:pPr>
    </w:p>
    <w:p w:rsidR="00EC5A9C" w:rsidRPr="00EC5A9C" w:rsidRDefault="00EC5A9C" w:rsidP="00EC5A9C">
      <w:pPr>
        <w:rPr>
          <w:rFonts w:ascii="HelveticaNeueLT Pro 55 Roman" w:hAnsi="HelveticaNeueLT Pro 55 Roman"/>
          <w:b/>
          <w:color w:val="0B0C0C"/>
          <w:sz w:val="20"/>
          <w:szCs w:val="20"/>
          <w:highlight w:val="white"/>
        </w:rPr>
      </w:pPr>
    </w:p>
    <w:p w:rsidR="00EC5A9C" w:rsidRPr="00EC5A9C" w:rsidRDefault="00EC5A9C" w:rsidP="00EC5A9C">
      <w:pPr>
        <w:spacing w:line="240" w:lineRule="auto"/>
        <w:rPr>
          <w:rFonts w:ascii="HelveticaNeueLT Pro 55 Roman" w:hAnsi="HelveticaNeueLT Pro 55 Roman"/>
          <w:b/>
          <w:color w:val="0B0C0C"/>
          <w:sz w:val="20"/>
          <w:szCs w:val="20"/>
          <w:highlight w:val="white"/>
        </w:rPr>
      </w:pPr>
      <w:r w:rsidRPr="00EC5A9C">
        <w:rPr>
          <w:rFonts w:ascii="HelveticaNeueLT Pro 55 Roman" w:hAnsi="HelveticaNeueLT Pro 55 Roman"/>
          <w:b/>
          <w:color w:val="0B0C0C"/>
          <w:sz w:val="20"/>
          <w:szCs w:val="20"/>
          <w:highlight w:val="white"/>
        </w:rPr>
        <w:t xml:space="preserve">Summary </w:t>
      </w:r>
    </w:p>
    <w:p w:rsidR="00EC5A9C" w:rsidRDefault="00EC5A9C" w:rsidP="00EC5A9C">
      <w:pPr>
        <w:spacing w:line="240" w:lineRule="auto"/>
        <w:jc w:val="both"/>
        <w:rPr>
          <w:rFonts w:ascii="HelveticaNeueLT Pro 55 Roman" w:hAnsi="HelveticaNeueLT Pro 55 Roman"/>
          <w:color w:val="0B0C0C"/>
          <w:sz w:val="20"/>
          <w:szCs w:val="20"/>
          <w:highlight w:val="white"/>
        </w:rPr>
      </w:pPr>
    </w:p>
    <w:p w:rsidR="00EC5A9C" w:rsidRPr="00EC5A9C" w:rsidRDefault="00EC5A9C" w:rsidP="00EC5A9C">
      <w:pPr>
        <w:jc w:val="both"/>
        <w:rPr>
          <w:rFonts w:ascii="HelveticaNeueLT Pro 55 Roman" w:hAnsi="HelveticaNeueLT Pro 55 Roman"/>
          <w:color w:val="0B0C0C"/>
          <w:sz w:val="20"/>
          <w:szCs w:val="20"/>
          <w:highlight w:val="white"/>
        </w:rPr>
      </w:pPr>
      <w:r w:rsidRPr="00EC5A9C">
        <w:rPr>
          <w:rFonts w:ascii="HelveticaNeueLT Pro 55 Roman" w:hAnsi="HelveticaNeueLT Pro 55 Roman"/>
          <w:color w:val="0B0C0C"/>
          <w:sz w:val="20"/>
          <w:szCs w:val="20"/>
          <w:highlight w:val="white"/>
        </w:rPr>
        <w:t>The Budget announces a £12 billion plan to provide support for public services, individuals and businesses.</w:t>
      </w:r>
    </w:p>
    <w:p w:rsidR="00EC5A9C" w:rsidRPr="00EC5A9C" w:rsidRDefault="00EC5A9C" w:rsidP="00EC5A9C">
      <w:pPr>
        <w:jc w:val="both"/>
        <w:rPr>
          <w:rFonts w:ascii="HelveticaNeueLT Pro 55 Roman" w:hAnsi="HelveticaNeueLT Pro 55 Roman"/>
          <w:color w:val="0B0C0C"/>
          <w:sz w:val="20"/>
          <w:szCs w:val="20"/>
          <w:highlight w:val="white"/>
        </w:rPr>
      </w:pPr>
    </w:p>
    <w:p w:rsidR="00EC5A9C" w:rsidRPr="00EC5A9C" w:rsidRDefault="00EC5A9C" w:rsidP="00EC5A9C">
      <w:pPr>
        <w:jc w:val="both"/>
        <w:rPr>
          <w:rFonts w:ascii="HelveticaNeueLT Pro 55 Roman" w:hAnsi="HelveticaNeueLT Pro 55 Roman"/>
          <w:color w:val="0B0C0C"/>
          <w:sz w:val="20"/>
          <w:szCs w:val="20"/>
          <w:highlight w:val="white"/>
        </w:rPr>
      </w:pPr>
      <w:r w:rsidRPr="00EC5A9C">
        <w:rPr>
          <w:rFonts w:ascii="HelveticaNeueLT Pro 55 Roman" w:hAnsi="HelveticaNeueLT Pro 55 Roman"/>
          <w:color w:val="0B0C0C"/>
          <w:sz w:val="20"/>
          <w:szCs w:val="20"/>
          <w:highlight w:val="white"/>
        </w:rPr>
        <w:t xml:space="preserve">The government will support businesses that experience increased costs or disruptions to their </w:t>
      </w:r>
      <w:proofErr w:type="spellStart"/>
      <w:r w:rsidRPr="00EC5A9C">
        <w:rPr>
          <w:rFonts w:ascii="HelveticaNeueLT Pro 55 Roman" w:hAnsi="HelveticaNeueLT Pro 55 Roman"/>
          <w:color w:val="0B0C0C"/>
          <w:sz w:val="20"/>
          <w:szCs w:val="20"/>
          <w:highlight w:val="white"/>
        </w:rPr>
        <w:t>cashflow</w:t>
      </w:r>
      <w:proofErr w:type="spellEnd"/>
      <w:r w:rsidRPr="00EC5A9C">
        <w:rPr>
          <w:rFonts w:ascii="HelveticaNeueLT Pro 55 Roman" w:hAnsi="HelveticaNeueLT Pro 55 Roman"/>
          <w:color w:val="0B0C0C"/>
          <w:sz w:val="20"/>
          <w:szCs w:val="20"/>
          <w:highlight w:val="white"/>
        </w:rPr>
        <w:t>. This includes a Coronavirus Business Interruption Loan Scheme to support up to a further £1 billion lending to SMEs, a £2.2 billion grant scheme for small businesses, and a dedicated helpline for those who need a deferral period on their tax liabilities.</w:t>
      </w:r>
    </w:p>
    <w:p w:rsidR="00EC5A9C" w:rsidRPr="00EC5A9C" w:rsidRDefault="00EC5A9C" w:rsidP="00EC5A9C">
      <w:pPr>
        <w:jc w:val="both"/>
        <w:rPr>
          <w:rFonts w:ascii="HelveticaNeueLT Pro 55 Roman" w:hAnsi="HelveticaNeueLT Pro 55 Roman"/>
          <w:color w:val="0B0C0C"/>
          <w:sz w:val="20"/>
          <w:szCs w:val="20"/>
          <w:highlight w:val="white"/>
        </w:rPr>
      </w:pPr>
    </w:p>
    <w:p w:rsidR="00EC5A9C" w:rsidRPr="00EC5A9C" w:rsidRDefault="00EC5A9C" w:rsidP="00EC5A9C">
      <w:pPr>
        <w:spacing w:line="240" w:lineRule="auto"/>
        <w:rPr>
          <w:rFonts w:ascii="HelveticaNeueLT Pro 55 Roman" w:hAnsi="HelveticaNeueLT Pro 55 Roman"/>
          <w:b/>
          <w:color w:val="0B0C0C"/>
          <w:sz w:val="20"/>
          <w:szCs w:val="20"/>
          <w:highlight w:val="white"/>
        </w:rPr>
      </w:pPr>
      <w:r w:rsidRPr="00EC5A9C">
        <w:rPr>
          <w:rFonts w:ascii="HelveticaNeueLT Pro 55 Roman" w:hAnsi="HelveticaNeueLT Pro 55 Roman"/>
          <w:color w:val="0B0C0C"/>
          <w:sz w:val="20"/>
          <w:szCs w:val="20"/>
          <w:highlight w:val="white"/>
        </w:rPr>
        <w:t xml:space="preserve">Government provides broader guidance for employees, employers and businesses </w:t>
      </w:r>
      <w:hyperlink r:id="rId7">
        <w:r w:rsidRPr="00EC5A9C">
          <w:rPr>
            <w:rFonts w:ascii="HelveticaNeueLT Pro 55 Roman" w:hAnsi="HelveticaNeueLT Pro 55 Roman"/>
            <w:color w:val="1155CC"/>
            <w:sz w:val="20"/>
            <w:szCs w:val="20"/>
            <w:highlight w:val="white"/>
            <w:u w:val="single"/>
          </w:rPr>
          <w:t>here</w:t>
        </w:r>
      </w:hyperlink>
      <w:r w:rsidRPr="00EC5A9C">
        <w:rPr>
          <w:rFonts w:ascii="HelveticaNeueLT Pro 55 Roman" w:hAnsi="HelveticaNeueLT Pro 55 Roman"/>
          <w:color w:val="0B0C0C"/>
          <w:sz w:val="20"/>
          <w:szCs w:val="20"/>
          <w:highlight w:val="white"/>
        </w:rPr>
        <w:t xml:space="preserve">. </w:t>
      </w:r>
    </w:p>
    <w:p w:rsidR="00EC5A9C" w:rsidRPr="00EC5A9C" w:rsidRDefault="00EC5A9C" w:rsidP="00EC5A9C">
      <w:pPr>
        <w:spacing w:line="240" w:lineRule="auto"/>
        <w:rPr>
          <w:rFonts w:ascii="HelveticaNeueLT Pro 55 Roman" w:hAnsi="HelveticaNeueLT Pro 55 Roman"/>
          <w:b/>
          <w:color w:val="0B0C0C"/>
          <w:sz w:val="20"/>
          <w:szCs w:val="20"/>
          <w:highlight w:val="white"/>
        </w:rPr>
      </w:pPr>
    </w:p>
    <w:p w:rsidR="00EC5A9C" w:rsidRPr="00EC5A9C" w:rsidRDefault="00EC5A9C" w:rsidP="00EC5A9C">
      <w:pPr>
        <w:spacing w:line="240" w:lineRule="auto"/>
        <w:rPr>
          <w:rFonts w:ascii="HelveticaNeueLT Pro 55 Roman" w:hAnsi="HelveticaNeueLT Pro 55 Roman"/>
          <w:b/>
          <w:color w:val="0B0C0C"/>
          <w:sz w:val="20"/>
          <w:szCs w:val="20"/>
          <w:highlight w:val="white"/>
        </w:rPr>
      </w:pPr>
    </w:p>
    <w:p w:rsidR="00EC5A9C" w:rsidRPr="00EC5A9C" w:rsidRDefault="00EC5A9C" w:rsidP="00EC5A9C">
      <w:pPr>
        <w:spacing w:line="240" w:lineRule="auto"/>
        <w:rPr>
          <w:rFonts w:ascii="HelveticaNeueLT Pro 55 Roman" w:hAnsi="HelveticaNeueLT Pro 55 Roman"/>
          <w:b/>
          <w:color w:val="0B0C0C"/>
          <w:sz w:val="20"/>
          <w:szCs w:val="20"/>
          <w:highlight w:val="white"/>
        </w:rPr>
      </w:pPr>
      <w:r w:rsidRPr="00EC5A9C">
        <w:rPr>
          <w:rFonts w:ascii="HelveticaNeueLT Pro 55 Roman" w:hAnsi="HelveticaNeueLT Pro 55 Roman"/>
          <w:b/>
          <w:color w:val="0B0C0C"/>
          <w:sz w:val="20"/>
          <w:szCs w:val="20"/>
          <w:highlight w:val="white"/>
        </w:rPr>
        <w:t xml:space="preserve">Measures in the Budget </w:t>
      </w:r>
    </w:p>
    <w:p w:rsidR="00EC5A9C" w:rsidRPr="00EC5A9C" w:rsidRDefault="00EC5A9C" w:rsidP="00EC5A9C">
      <w:pPr>
        <w:numPr>
          <w:ilvl w:val="0"/>
          <w:numId w:val="1"/>
        </w:numPr>
        <w:shd w:val="clear" w:color="auto" w:fill="FFFFFF"/>
        <w:spacing w:before="300" w:line="315" w:lineRule="auto"/>
        <w:jc w:val="both"/>
        <w:rPr>
          <w:rFonts w:ascii="HelveticaNeueLT Pro 55 Roman" w:hAnsi="HelveticaNeueLT Pro 55 Roman"/>
          <w:color w:val="0B0C0C"/>
          <w:sz w:val="20"/>
          <w:szCs w:val="20"/>
          <w:highlight w:val="white"/>
        </w:rPr>
      </w:pPr>
      <w:r w:rsidRPr="00EC5A9C">
        <w:rPr>
          <w:rFonts w:ascii="HelveticaNeueLT Pro 55 Roman" w:hAnsi="HelveticaNeueLT Pro 55 Roman"/>
          <w:b/>
          <w:color w:val="0B0C0C"/>
          <w:sz w:val="20"/>
          <w:szCs w:val="20"/>
          <w:highlight w:val="white"/>
        </w:rPr>
        <w:t>Support for those ineligible for Statutory Sick Pay (SSP):</w:t>
      </w:r>
      <w:r w:rsidRPr="00EC5A9C">
        <w:rPr>
          <w:rFonts w:ascii="HelveticaNeueLT Pro 55 Roman" w:hAnsi="HelveticaNeueLT Pro 55 Roman"/>
          <w:color w:val="0B0C0C"/>
          <w:sz w:val="20"/>
          <w:szCs w:val="20"/>
          <w:highlight w:val="white"/>
        </w:rPr>
        <w:t xml:space="preserve"> The Budget </w:t>
      </w:r>
      <w:proofErr w:type="spellStart"/>
      <w:r w:rsidRPr="00EC5A9C">
        <w:rPr>
          <w:rFonts w:ascii="HelveticaNeueLT Pro 55 Roman" w:hAnsi="HelveticaNeueLT Pro 55 Roman"/>
          <w:color w:val="0B0C0C"/>
          <w:sz w:val="20"/>
          <w:szCs w:val="20"/>
          <w:highlight w:val="white"/>
        </w:rPr>
        <w:t>recognises</w:t>
      </w:r>
      <w:proofErr w:type="spellEnd"/>
      <w:r w:rsidRPr="00EC5A9C">
        <w:rPr>
          <w:rFonts w:ascii="HelveticaNeueLT Pro 55 Roman" w:hAnsi="HelveticaNeueLT Pro 55 Roman"/>
          <w:color w:val="0B0C0C"/>
          <w:sz w:val="20"/>
          <w:szCs w:val="20"/>
          <w:highlight w:val="white"/>
        </w:rPr>
        <w:t xml:space="preserve"> that self-employed people and employees below the Lower Earnings Limit are not entitled to SSP. It sets out the following measures to counter this: </w:t>
      </w:r>
    </w:p>
    <w:p w:rsidR="00EC5A9C" w:rsidRPr="00EC5A9C" w:rsidRDefault="00EC5A9C" w:rsidP="00EC5A9C">
      <w:pPr>
        <w:numPr>
          <w:ilvl w:val="1"/>
          <w:numId w:val="1"/>
        </w:numPr>
        <w:shd w:val="clear" w:color="auto" w:fill="FFFFFF"/>
        <w:spacing w:line="315" w:lineRule="auto"/>
        <w:jc w:val="both"/>
        <w:rPr>
          <w:rFonts w:ascii="HelveticaNeueLT Pro 55 Roman" w:hAnsi="HelveticaNeueLT Pro 55 Roman"/>
          <w:color w:val="0B0C0C"/>
          <w:sz w:val="20"/>
          <w:szCs w:val="20"/>
          <w:highlight w:val="white"/>
        </w:rPr>
      </w:pPr>
      <w:r w:rsidRPr="00EC5A9C">
        <w:rPr>
          <w:rFonts w:ascii="HelveticaNeueLT Pro 55 Roman" w:hAnsi="HelveticaNeueLT Pro 55 Roman"/>
          <w:color w:val="0B0C0C"/>
          <w:sz w:val="20"/>
          <w:szCs w:val="20"/>
          <w:highlight w:val="white"/>
        </w:rPr>
        <w:t>‘New style’</w:t>
      </w:r>
      <w:hyperlink r:id="rId8">
        <w:r w:rsidRPr="00EC5A9C">
          <w:rPr>
            <w:rFonts w:ascii="HelveticaNeueLT Pro 55 Roman" w:hAnsi="HelveticaNeueLT Pro 55 Roman"/>
            <w:color w:val="1155CC"/>
            <w:sz w:val="20"/>
            <w:szCs w:val="20"/>
            <w:highlight w:val="white"/>
            <w:u w:val="single"/>
          </w:rPr>
          <w:t xml:space="preserve"> Employment and Support Allowance (ESA)</w:t>
        </w:r>
      </w:hyperlink>
      <w:r w:rsidRPr="00EC5A9C">
        <w:rPr>
          <w:rFonts w:ascii="HelveticaNeueLT Pro 55 Roman" w:hAnsi="HelveticaNeueLT Pro 55 Roman"/>
          <w:color w:val="0B0C0C"/>
          <w:sz w:val="20"/>
          <w:szCs w:val="20"/>
          <w:highlight w:val="white"/>
        </w:rPr>
        <w:t xml:space="preserve">  will be payable for people directly affected by COVID-19 or self-isolating according to government advice from the first day of sickness, rather than the eighth day. EDA provides money to those unable to work due to sickness or disability. The amount you receive is not impacted by savings or income. </w:t>
      </w:r>
    </w:p>
    <w:p w:rsidR="00EC5A9C" w:rsidRPr="00EC5A9C" w:rsidRDefault="00EC5A9C" w:rsidP="00EC5A9C">
      <w:pPr>
        <w:numPr>
          <w:ilvl w:val="1"/>
          <w:numId w:val="1"/>
        </w:numPr>
        <w:shd w:val="clear" w:color="auto" w:fill="FFFFFF"/>
        <w:spacing w:line="315" w:lineRule="auto"/>
        <w:jc w:val="both"/>
        <w:rPr>
          <w:rFonts w:ascii="HelveticaNeueLT Pro 55 Roman" w:hAnsi="HelveticaNeueLT Pro 55 Roman"/>
          <w:color w:val="0B0C0C"/>
          <w:sz w:val="20"/>
          <w:szCs w:val="20"/>
          <w:highlight w:val="white"/>
        </w:rPr>
      </w:pPr>
      <w:r w:rsidRPr="00EC5A9C">
        <w:rPr>
          <w:rFonts w:ascii="HelveticaNeueLT Pro 55 Roman" w:hAnsi="HelveticaNeueLT Pro 55 Roman"/>
          <w:color w:val="0B0C0C"/>
          <w:sz w:val="20"/>
          <w:szCs w:val="20"/>
          <w:highlight w:val="white"/>
        </w:rPr>
        <w:t xml:space="preserve">If you claim </w:t>
      </w:r>
      <w:hyperlink r:id="rId9">
        <w:r w:rsidRPr="00EC5A9C">
          <w:rPr>
            <w:rFonts w:ascii="HelveticaNeueLT Pro 55 Roman" w:hAnsi="HelveticaNeueLT Pro 55 Roman"/>
            <w:color w:val="1155CC"/>
            <w:sz w:val="20"/>
            <w:szCs w:val="20"/>
            <w:highlight w:val="white"/>
            <w:u w:val="single"/>
          </w:rPr>
          <w:t>Universal Credit</w:t>
        </w:r>
      </w:hyperlink>
      <w:r w:rsidRPr="00EC5A9C">
        <w:rPr>
          <w:rFonts w:ascii="HelveticaNeueLT Pro 55 Roman" w:hAnsi="HelveticaNeueLT Pro 55 Roman"/>
          <w:color w:val="0B0C0C"/>
          <w:sz w:val="20"/>
          <w:szCs w:val="20"/>
          <w:highlight w:val="white"/>
        </w:rPr>
        <w:t xml:space="preserve"> and are directly affected by COVID-19 or are self-isolating, you will be able to claim this as well as advance payments without the current requirement to attend a </w:t>
      </w:r>
      <w:proofErr w:type="spellStart"/>
      <w:r w:rsidRPr="00EC5A9C">
        <w:rPr>
          <w:rFonts w:ascii="HelveticaNeueLT Pro 55 Roman" w:hAnsi="HelveticaNeueLT Pro 55 Roman"/>
          <w:color w:val="0B0C0C"/>
          <w:sz w:val="20"/>
          <w:szCs w:val="20"/>
          <w:highlight w:val="white"/>
        </w:rPr>
        <w:t>jobcentre</w:t>
      </w:r>
      <w:proofErr w:type="spellEnd"/>
      <w:r w:rsidRPr="00EC5A9C">
        <w:rPr>
          <w:rFonts w:ascii="HelveticaNeueLT Pro 55 Roman" w:hAnsi="HelveticaNeueLT Pro 55 Roman"/>
          <w:color w:val="0B0C0C"/>
          <w:sz w:val="20"/>
          <w:szCs w:val="20"/>
          <w:highlight w:val="white"/>
        </w:rPr>
        <w:t>.</w:t>
      </w:r>
    </w:p>
    <w:p w:rsidR="00EC5A9C" w:rsidRPr="00EC5A9C" w:rsidRDefault="00EC5A9C" w:rsidP="00EC5A9C">
      <w:pPr>
        <w:numPr>
          <w:ilvl w:val="1"/>
          <w:numId w:val="1"/>
        </w:numPr>
        <w:shd w:val="clear" w:color="auto" w:fill="FFFFFF"/>
        <w:spacing w:after="200" w:line="315" w:lineRule="auto"/>
        <w:jc w:val="both"/>
        <w:rPr>
          <w:rFonts w:ascii="HelveticaNeueLT Pro 55 Roman" w:hAnsi="HelveticaNeueLT Pro 55 Roman"/>
          <w:color w:val="0B0C0C"/>
          <w:sz w:val="20"/>
          <w:szCs w:val="20"/>
          <w:highlight w:val="white"/>
        </w:rPr>
      </w:pPr>
      <w:r w:rsidRPr="00EC5A9C">
        <w:rPr>
          <w:rFonts w:ascii="HelveticaNeueLT Pro 55 Roman" w:hAnsi="HelveticaNeueLT Pro 55 Roman"/>
          <w:color w:val="0B0C0C"/>
          <w:sz w:val="20"/>
          <w:szCs w:val="20"/>
          <w:highlight w:val="white"/>
        </w:rPr>
        <w:t>For the duration of the outbreak, the requirements of the minimum income floor in Universal Credit will be temporarily relaxed for those directly affected by COVID-19 or self-isolating according to government advice for duration of the outbreak, ensuring self</w:t>
      </w:r>
      <w:r w:rsidRPr="00EC5A9C">
        <w:rPr>
          <w:rFonts w:ascii="Cambria Math" w:hAnsi="Cambria Math" w:cs="Cambria Math"/>
          <w:color w:val="0B0C0C"/>
          <w:sz w:val="20"/>
          <w:szCs w:val="20"/>
          <w:highlight w:val="white"/>
        </w:rPr>
        <w:t>‑</w:t>
      </w:r>
      <w:r w:rsidRPr="00EC5A9C">
        <w:rPr>
          <w:rFonts w:ascii="HelveticaNeueLT Pro 55 Roman" w:hAnsi="HelveticaNeueLT Pro 55 Roman"/>
          <w:color w:val="0B0C0C"/>
          <w:sz w:val="20"/>
          <w:szCs w:val="20"/>
          <w:highlight w:val="white"/>
        </w:rPr>
        <w:t>employed claimants will be compensated for losses in income</w:t>
      </w:r>
    </w:p>
    <w:p w:rsidR="00EC5A9C" w:rsidRPr="00EC5A9C" w:rsidRDefault="00EC5A9C" w:rsidP="00EC5A9C">
      <w:pPr>
        <w:numPr>
          <w:ilvl w:val="0"/>
          <w:numId w:val="1"/>
        </w:numPr>
        <w:shd w:val="clear" w:color="auto" w:fill="FFFFFF"/>
        <w:spacing w:after="300" w:line="315" w:lineRule="auto"/>
        <w:jc w:val="both"/>
        <w:rPr>
          <w:rFonts w:ascii="HelveticaNeueLT Pro 55 Roman" w:hAnsi="HelveticaNeueLT Pro 55 Roman"/>
          <w:color w:val="0B0C0C"/>
          <w:sz w:val="20"/>
          <w:szCs w:val="20"/>
          <w:highlight w:val="white"/>
        </w:rPr>
      </w:pPr>
      <w:r w:rsidRPr="00EC5A9C">
        <w:rPr>
          <w:rFonts w:ascii="HelveticaNeueLT Pro 55 Roman" w:hAnsi="HelveticaNeueLT Pro 55 Roman"/>
          <w:b/>
          <w:color w:val="0B0C0C"/>
          <w:sz w:val="20"/>
          <w:szCs w:val="20"/>
          <w:highlight w:val="white"/>
        </w:rPr>
        <w:t>Time to Pay:</w:t>
      </w:r>
      <w:r w:rsidRPr="00EC5A9C">
        <w:rPr>
          <w:rFonts w:ascii="HelveticaNeueLT Pro 55 Roman" w:hAnsi="HelveticaNeueLT Pro 55 Roman"/>
          <w:color w:val="0B0C0C"/>
          <w:sz w:val="20"/>
          <w:szCs w:val="20"/>
          <w:highlight w:val="white"/>
        </w:rPr>
        <w:t xml:space="preserve"> The government will ensure that businesses and self-employed individuals in financial distress and with outstanding tax liabilities receive support with their tax affairs. HMRC has set up a dedicated COVID-19 helpline to help those in need, and they may be able to agree a bespoke Time to Pay arrangement. This can be reached at 0800 0159 559.</w:t>
      </w:r>
    </w:p>
    <w:p w:rsidR="00EC5A9C" w:rsidRDefault="00EC5A9C" w:rsidP="00EC5A9C">
      <w:pPr>
        <w:shd w:val="clear" w:color="auto" w:fill="FFFFFF"/>
        <w:spacing w:after="300" w:line="315" w:lineRule="auto"/>
        <w:ind w:left="720"/>
        <w:jc w:val="both"/>
        <w:rPr>
          <w:rFonts w:ascii="HelveticaNeueLT Pro 55 Roman" w:hAnsi="HelveticaNeueLT Pro 55 Roman"/>
          <w:color w:val="0B0C0C"/>
          <w:sz w:val="20"/>
          <w:szCs w:val="20"/>
          <w:highlight w:val="white"/>
        </w:rPr>
      </w:pPr>
    </w:p>
    <w:p w:rsidR="00EC5A9C" w:rsidRPr="00EC5A9C" w:rsidRDefault="00EC5A9C" w:rsidP="00EC5A9C">
      <w:pPr>
        <w:shd w:val="clear" w:color="auto" w:fill="FFFFFF"/>
        <w:spacing w:after="300" w:line="315" w:lineRule="auto"/>
        <w:ind w:left="720"/>
        <w:jc w:val="both"/>
        <w:rPr>
          <w:rFonts w:ascii="HelveticaNeueLT Pro 55 Roman" w:hAnsi="HelveticaNeueLT Pro 55 Roman"/>
          <w:color w:val="0B0C0C"/>
          <w:sz w:val="20"/>
          <w:szCs w:val="20"/>
          <w:highlight w:val="white"/>
        </w:rPr>
      </w:pPr>
      <w:r w:rsidRPr="00EC5A9C">
        <w:rPr>
          <w:rFonts w:ascii="HelveticaNeueLT Pro 55 Roman" w:hAnsi="HelveticaNeueLT Pro 55 Roman"/>
          <w:color w:val="0B0C0C"/>
          <w:sz w:val="20"/>
          <w:szCs w:val="20"/>
          <w:highlight w:val="white"/>
        </w:rPr>
        <w:lastRenderedPageBreak/>
        <w:t xml:space="preserve">Time to Pay was previously used in response to flooding and the financial crisis. It gives businesses a time-limited deferral period on HMRC liabilities owed and a pre-agreed time period to pay these back. These tailored arrangements will give a business the time it needs to pay HMRC to support their recovery while operating through any temporary financial challenges that occur. To ensure ongoing support, HMRC have made a further 2,000 experienced call handlers available to support firms when needed. HMRC will also waive late payment penalties and interest where a business experiences administrative difficulties contacting HMRC or paying taxes due to COVID-19. </w:t>
      </w:r>
    </w:p>
    <w:p w:rsidR="00EC5A9C" w:rsidRPr="00EC5A9C" w:rsidRDefault="00EC5A9C" w:rsidP="00EC5A9C">
      <w:pPr>
        <w:numPr>
          <w:ilvl w:val="0"/>
          <w:numId w:val="2"/>
        </w:numPr>
        <w:shd w:val="clear" w:color="auto" w:fill="FFFFFF"/>
        <w:spacing w:before="300" w:after="300" w:line="315" w:lineRule="auto"/>
        <w:jc w:val="both"/>
        <w:rPr>
          <w:rFonts w:ascii="HelveticaNeueLT Pro 55 Roman" w:hAnsi="HelveticaNeueLT Pro 55 Roman"/>
          <w:color w:val="0B0C0C"/>
          <w:sz w:val="20"/>
          <w:szCs w:val="20"/>
          <w:highlight w:val="white"/>
        </w:rPr>
      </w:pPr>
      <w:r w:rsidRPr="00EC5A9C">
        <w:rPr>
          <w:rFonts w:ascii="HelveticaNeueLT Pro 55 Roman" w:hAnsi="HelveticaNeueLT Pro 55 Roman"/>
          <w:b/>
          <w:color w:val="0B0C0C"/>
          <w:sz w:val="20"/>
          <w:szCs w:val="20"/>
          <w:highlight w:val="white"/>
        </w:rPr>
        <w:t>Coronavirus Business Interruption Loan Scheme:</w:t>
      </w:r>
      <w:r w:rsidRPr="00EC5A9C">
        <w:rPr>
          <w:rFonts w:ascii="HelveticaNeueLT Pro 55 Roman" w:hAnsi="HelveticaNeueLT Pro 55 Roman"/>
          <w:color w:val="0B0C0C"/>
          <w:sz w:val="20"/>
          <w:szCs w:val="20"/>
          <w:highlight w:val="white"/>
        </w:rPr>
        <w:t xml:space="preserve"> The government will launch a new, temporary Coronavirus Business Interruption Loan Scheme, delivered by the British Business Bank, to support businesses to access bank lending and overdrafts. The government will provide lenders with a guarantee of 80% on each loan (subject to a per lender cap on claims) to give lenders further confidence in continuing to provide finance to SMEs. The government will not charge businesses or banks for this guarantee, and the Scheme will support loans of up to £1.2 million in value. This new guarantee will initially support up to £1 billion of lending on top of current support offered through the British Business Bank. Further details to follow.</w:t>
      </w:r>
    </w:p>
    <w:p w:rsidR="00EC5A9C" w:rsidRDefault="00EC5A9C" w:rsidP="00EC5A9C">
      <w:pPr>
        <w:jc w:val="both"/>
        <w:rPr>
          <w:rFonts w:ascii="HelveticaNeueLT Pro 55 Roman" w:hAnsi="HelveticaNeueLT Pro 55 Roman"/>
          <w:b/>
          <w:color w:val="0B0C0C"/>
          <w:sz w:val="20"/>
          <w:szCs w:val="20"/>
          <w:highlight w:val="white"/>
        </w:rPr>
      </w:pPr>
      <w:r w:rsidRPr="00EC5A9C">
        <w:rPr>
          <w:rFonts w:ascii="HelveticaNeueLT Pro 55 Roman" w:hAnsi="HelveticaNeueLT Pro 55 Roman"/>
          <w:b/>
          <w:color w:val="0B0C0C"/>
          <w:sz w:val="20"/>
          <w:szCs w:val="20"/>
          <w:highlight w:val="white"/>
        </w:rPr>
        <w:t xml:space="preserve">Measures by the finance sector </w:t>
      </w:r>
    </w:p>
    <w:p w:rsidR="00EC5A9C" w:rsidRPr="00EC5A9C" w:rsidRDefault="00EC5A9C" w:rsidP="00EC5A9C">
      <w:pPr>
        <w:jc w:val="both"/>
        <w:rPr>
          <w:rFonts w:ascii="HelveticaNeueLT Pro 55 Roman" w:hAnsi="HelveticaNeueLT Pro 55 Roman"/>
          <w:b/>
          <w:color w:val="0B0C0C"/>
          <w:sz w:val="20"/>
          <w:szCs w:val="20"/>
          <w:highlight w:val="white"/>
        </w:rPr>
      </w:pPr>
    </w:p>
    <w:p w:rsidR="00EC5A9C" w:rsidRPr="00EC5A9C" w:rsidRDefault="00EC5A9C" w:rsidP="00EC5A9C">
      <w:pPr>
        <w:shd w:val="clear" w:color="auto" w:fill="FFFFFF"/>
        <w:spacing w:after="300" w:line="315" w:lineRule="auto"/>
        <w:jc w:val="both"/>
        <w:rPr>
          <w:rFonts w:ascii="HelveticaNeueLT Pro 55 Roman" w:hAnsi="HelveticaNeueLT Pro 55 Roman"/>
          <w:color w:val="0B0C0C"/>
          <w:sz w:val="20"/>
          <w:szCs w:val="20"/>
          <w:highlight w:val="white"/>
        </w:rPr>
      </w:pPr>
      <w:r w:rsidRPr="00EC5A9C">
        <w:rPr>
          <w:rFonts w:ascii="HelveticaNeueLT Pro 55 Roman" w:hAnsi="HelveticaNeueLT Pro 55 Roman"/>
          <w:color w:val="0B0C0C"/>
          <w:sz w:val="20"/>
          <w:szCs w:val="20"/>
          <w:highlight w:val="white"/>
        </w:rPr>
        <w:t xml:space="preserve">A </w:t>
      </w:r>
      <w:hyperlink r:id="rId10">
        <w:r w:rsidRPr="00EC5A9C">
          <w:rPr>
            <w:rFonts w:ascii="HelveticaNeueLT Pro 55 Roman" w:hAnsi="HelveticaNeueLT Pro 55 Roman"/>
            <w:color w:val="1155CC"/>
            <w:sz w:val="20"/>
            <w:szCs w:val="20"/>
            <w:highlight w:val="white"/>
            <w:u w:val="single"/>
          </w:rPr>
          <w:t>statement by UK Finance</w:t>
        </w:r>
      </w:hyperlink>
      <w:r w:rsidRPr="00EC5A9C">
        <w:rPr>
          <w:rFonts w:ascii="HelveticaNeueLT Pro 55 Roman" w:hAnsi="HelveticaNeueLT Pro 55 Roman"/>
          <w:color w:val="0B0C0C"/>
          <w:sz w:val="20"/>
          <w:szCs w:val="20"/>
          <w:highlight w:val="white"/>
        </w:rPr>
        <w:t xml:space="preserve"> on behalf of the sector which announced that banks, building societies and credit card providers are ready and able to offer support to consumers, including offering or increasing an overdraft or allowing repayment relief for loan or mortgage repayments. Banks and other providers of SME finance will also provide support for businesses that are facing cash flow disruption and stand ready to help when needed. Private lenders making special funds available for small businesses impacted by COVID-19 include £2 billion from </w:t>
      </w:r>
      <w:hyperlink r:id="rId11">
        <w:r w:rsidRPr="00EC5A9C">
          <w:rPr>
            <w:rFonts w:ascii="HelveticaNeueLT Pro 55 Roman" w:hAnsi="HelveticaNeueLT Pro 55 Roman"/>
            <w:color w:val="4C2C92"/>
            <w:sz w:val="20"/>
            <w:szCs w:val="20"/>
            <w:highlight w:val="white"/>
            <w:u w:val="single"/>
          </w:rPr>
          <w:t>Lloyds Banking Group</w:t>
        </w:r>
      </w:hyperlink>
      <w:r w:rsidRPr="00EC5A9C">
        <w:rPr>
          <w:rFonts w:ascii="HelveticaNeueLT Pro 55 Roman" w:hAnsi="HelveticaNeueLT Pro 55 Roman"/>
          <w:color w:val="0B0C0C"/>
          <w:sz w:val="20"/>
          <w:szCs w:val="20"/>
          <w:highlight w:val="white"/>
        </w:rPr>
        <w:t xml:space="preserve"> and £5 billion from </w:t>
      </w:r>
      <w:hyperlink r:id="rId12">
        <w:r w:rsidRPr="00EC5A9C">
          <w:rPr>
            <w:rFonts w:ascii="HelveticaNeueLT Pro 55 Roman" w:hAnsi="HelveticaNeueLT Pro 55 Roman"/>
            <w:color w:val="4C2C92"/>
            <w:sz w:val="20"/>
            <w:szCs w:val="20"/>
            <w:highlight w:val="white"/>
            <w:u w:val="single"/>
          </w:rPr>
          <w:t>NatWest</w:t>
        </w:r>
      </w:hyperlink>
      <w:r w:rsidRPr="00EC5A9C">
        <w:rPr>
          <w:rFonts w:ascii="HelveticaNeueLT Pro 55 Roman" w:hAnsi="HelveticaNeueLT Pro 55 Roman"/>
          <w:color w:val="4C2C92"/>
          <w:sz w:val="20"/>
          <w:szCs w:val="20"/>
          <w:highlight w:val="white"/>
          <w:u w:val="single"/>
        </w:rPr>
        <w:t>.</w:t>
      </w:r>
      <w:r w:rsidRPr="00EC5A9C">
        <w:rPr>
          <w:rFonts w:ascii="HelveticaNeueLT Pro 55 Roman" w:hAnsi="HelveticaNeueLT Pro 55 Roman"/>
          <w:sz w:val="20"/>
          <w:szCs w:val="20"/>
        </w:rPr>
        <w:t xml:space="preserve"> </w:t>
      </w:r>
      <w:r w:rsidRPr="00EC5A9C">
        <w:rPr>
          <w:rFonts w:ascii="HelveticaNeueLT Pro 55 Roman" w:hAnsi="HelveticaNeueLT Pro 55 Roman"/>
          <w:color w:val="0B0C0C"/>
          <w:sz w:val="20"/>
          <w:szCs w:val="20"/>
          <w:highlight w:val="white"/>
        </w:rPr>
        <w:t xml:space="preserve">Government has welcomed this response. </w:t>
      </w:r>
    </w:p>
    <w:p w:rsidR="00EC5A9C" w:rsidRPr="00EC5A9C" w:rsidRDefault="00EC5A9C" w:rsidP="00EC5A9C">
      <w:pPr>
        <w:jc w:val="both"/>
        <w:rPr>
          <w:rFonts w:ascii="HelveticaNeueLT Pro 55 Roman" w:hAnsi="HelveticaNeueLT Pro 55 Roman"/>
          <w:b/>
          <w:color w:val="0B0C0C"/>
          <w:sz w:val="20"/>
          <w:szCs w:val="20"/>
          <w:highlight w:val="white"/>
        </w:rPr>
      </w:pPr>
    </w:p>
    <w:p w:rsidR="00EC5A9C" w:rsidRDefault="00EC5A9C" w:rsidP="00EC5A9C">
      <w:pPr>
        <w:jc w:val="both"/>
        <w:rPr>
          <w:rFonts w:ascii="HelveticaNeueLT Pro 55 Roman" w:hAnsi="HelveticaNeueLT Pro 55 Roman"/>
          <w:b/>
          <w:color w:val="0B0C0C"/>
          <w:sz w:val="20"/>
          <w:szCs w:val="20"/>
          <w:highlight w:val="white"/>
        </w:rPr>
      </w:pPr>
      <w:r w:rsidRPr="00EC5A9C">
        <w:rPr>
          <w:rFonts w:ascii="HelveticaNeueLT Pro 55 Roman" w:hAnsi="HelveticaNeueLT Pro 55 Roman"/>
          <w:b/>
          <w:color w:val="0B0C0C"/>
          <w:sz w:val="20"/>
          <w:szCs w:val="20"/>
          <w:highlight w:val="white"/>
        </w:rPr>
        <w:t>Industry response and guidance</w:t>
      </w:r>
    </w:p>
    <w:p w:rsidR="00EC5A9C" w:rsidRPr="00EC5A9C" w:rsidRDefault="00EC5A9C" w:rsidP="00EC5A9C">
      <w:pPr>
        <w:jc w:val="both"/>
        <w:rPr>
          <w:rFonts w:ascii="HelveticaNeueLT Pro 55 Roman" w:hAnsi="HelveticaNeueLT Pro 55 Roman"/>
          <w:b/>
          <w:color w:val="0B0C0C"/>
          <w:sz w:val="20"/>
          <w:szCs w:val="20"/>
          <w:highlight w:val="white"/>
        </w:rPr>
      </w:pPr>
    </w:p>
    <w:p w:rsidR="00EC5A9C" w:rsidRPr="00EC5A9C" w:rsidRDefault="00EC5A9C" w:rsidP="00EC5A9C">
      <w:pPr>
        <w:jc w:val="both"/>
        <w:rPr>
          <w:rFonts w:ascii="HelveticaNeueLT Pro 55 Roman" w:hAnsi="HelveticaNeueLT Pro 55 Roman"/>
          <w:color w:val="2D2D2D"/>
          <w:sz w:val="20"/>
          <w:szCs w:val="20"/>
          <w:highlight w:val="white"/>
        </w:rPr>
      </w:pPr>
      <w:r w:rsidRPr="00EC5A9C">
        <w:rPr>
          <w:rFonts w:ascii="HelveticaNeueLT Pro 55 Roman" w:hAnsi="HelveticaNeueLT Pro 55 Roman"/>
          <w:color w:val="2D2D2D"/>
          <w:sz w:val="20"/>
          <w:szCs w:val="20"/>
          <w:highlight w:val="white"/>
        </w:rPr>
        <w:t xml:space="preserve">The </w:t>
      </w:r>
      <w:hyperlink r:id="rId13">
        <w:r w:rsidRPr="00EC5A9C">
          <w:rPr>
            <w:rFonts w:ascii="HelveticaNeueLT Pro 55 Roman" w:hAnsi="HelveticaNeueLT Pro 55 Roman"/>
            <w:color w:val="1155CC"/>
            <w:sz w:val="20"/>
            <w:szCs w:val="20"/>
            <w:highlight w:val="white"/>
            <w:u w:val="single"/>
          </w:rPr>
          <w:t>Association of Independent Professionals and the Self-Employed (IPSE)</w:t>
        </w:r>
      </w:hyperlink>
      <w:r w:rsidRPr="00EC5A9C">
        <w:rPr>
          <w:rFonts w:ascii="HelveticaNeueLT Pro 55 Roman" w:hAnsi="HelveticaNeueLT Pro 55 Roman"/>
          <w:color w:val="2D2D2D"/>
          <w:sz w:val="20"/>
          <w:szCs w:val="20"/>
          <w:highlight w:val="white"/>
        </w:rPr>
        <w:t xml:space="preserve"> has given a cautious welcome to these measures. It has stated that while making the welfare system easier and quicker to access is a positive step, alongside improved access to credit, they remained concerned that freelancers and the self-employed are exposed if they are ill and if the economy deteriorates. They are continuing to make representations to this effect. </w:t>
      </w:r>
    </w:p>
    <w:p w:rsidR="00EC5A9C" w:rsidRPr="00EC5A9C" w:rsidRDefault="00EC5A9C" w:rsidP="00EC5A9C">
      <w:pPr>
        <w:jc w:val="both"/>
        <w:rPr>
          <w:rFonts w:ascii="HelveticaNeueLT Pro 55 Roman" w:hAnsi="HelveticaNeueLT Pro 55 Roman"/>
          <w:color w:val="2D2D2D"/>
          <w:sz w:val="20"/>
          <w:szCs w:val="20"/>
          <w:highlight w:val="white"/>
        </w:rPr>
      </w:pPr>
    </w:p>
    <w:p w:rsidR="00EC5A9C" w:rsidRPr="00EC5A9C" w:rsidRDefault="00EC5A9C" w:rsidP="00EC5A9C">
      <w:pPr>
        <w:shd w:val="clear" w:color="auto" w:fill="FFFFFF"/>
        <w:spacing w:after="120"/>
        <w:jc w:val="both"/>
        <w:rPr>
          <w:rFonts w:ascii="HelveticaNeueLT Pro 55 Roman" w:hAnsi="HelveticaNeueLT Pro 55 Roman"/>
          <w:color w:val="2D2D2D"/>
          <w:sz w:val="20"/>
          <w:szCs w:val="20"/>
          <w:highlight w:val="white"/>
        </w:rPr>
      </w:pPr>
      <w:r w:rsidRPr="00EC5A9C">
        <w:rPr>
          <w:rFonts w:ascii="HelveticaNeueLT Pro 55 Roman" w:hAnsi="HelveticaNeueLT Pro 55 Roman"/>
          <w:color w:val="2D2D2D"/>
          <w:sz w:val="20"/>
          <w:szCs w:val="20"/>
          <w:highlight w:val="white"/>
        </w:rPr>
        <w:t xml:space="preserve">IPSE broadly recommends that freelancers and self-employed people should take the following steps: </w:t>
      </w:r>
    </w:p>
    <w:p w:rsidR="00EC5A9C" w:rsidRPr="00EC5A9C" w:rsidRDefault="00EC5A9C" w:rsidP="00EC5A9C">
      <w:pPr>
        <w:numPr>
          <w:ilvl w:val="0"/>
          <w:numId w:val="3"/>
        </w:numPr>
        <w:shd w:val="clear" w:color="auto" w:fill="FFFFFF"/>
        <w:jc w:val="both"/>
        <w:rPr>
          <w:rFonts w:ascii="HelveticaNeueLT Pro 55 Roman" w:hAnsi="HelveticaNeueLT Pro 55 Roman"/>
          <w:color w:val="2D2D2D"/>
          <w:sz w:val="20"/>
          <w:szCs w:val="20"/>
          <w:highlight w:val="white"/>
        </w:rPr>
      </w:pPr>
      <w:r w:rsidRPr="00EC5A9C">
        <w:rPr>
          <w:rFonts w:ascii="HelveticaNeueLT Pro 55 Roman" w:hAnsi="HelveticaNeueLT Pro 55 Roman"/>
          <w:color w:val="2D2D2D"/>
          <w:sz w:val="20"/>
          <w:szCs w:val="20"/>
          <w:highlight w:val="white"/>
        </w:rPr>
        <w:t xml:space="preserve">Start discussing preparations with their clients now - particularly getting ready to work remotely if they can. </w:t>
      </w:r>
    </w:p>
    <w:p w:rsidR="00EC5A9C" w:rsidRPr="00EC5A9C" w:rsidRDefault="00EC5A9C" w:rsidP="00EC5A9C">
      <w:pPr>
        <w:numPr>
          <w:ilvl w:val="0"/>
          <w:numId w:val="3"/>
        </w:numPr>
        <w:shd w:val="clear" w:color="auto" w:fill="FFFFFF"/>
        <w:jc w:val="both"/>
        <w:rPr>
          <w:rFonts w:ascii="HelveticaNeueLT Pro 55 Roman" w:hAnsi="HelveticaNeueLT Pro 55 Roman"/>
          <w:color w:val="2D2D2D"/>
          <w:sz w:val="20"/>
          <w:szCs w:val="20"/>
          <w:highlight w:val="white"/>
        </w:rPr>
      </w:pPr>
      <w:r w:rsidRPr="00EC5A9C">
        <w:rPr>
          <w:rFonts w:ascii="HelveticaNeueLT Pro 55 Roman" w:hAnsi="HelveticaNeueLT Pro 55 Roman"/>
          <w:color w:val="2D2D2D"/>
          <w:sz w:val="20"/>
          <w:szCs w:val="20"/>
          <w:highlight w:val="white"/>
        </w:rPr>
        <w:t xml:space="preserve">Consider how the coronavirus may affect their contractual obligations - for instance checking whether  you have 'force majeure' clauses in place. </w:t>
      </w:r>
    </w:p>
    <w:p w:rsidR="004F1F4E" w:rsidRPr="00EC5A9C" w:rsidRDefault="00EC5A9C" w:rsidP="00E60C91">
      <w:pPr>
        <w:numPr>
          <w:ilvl w:val="0"/>
          <w:numId w:val="4"/>
        </w:numPr>
        <w:shd w:val="clear" w:color="auto" w:fill="FFFFFF"/>
        <w:spacing w:after="300"/>
        <w:jc w:val="both"/>
        <w:rPr>
          <w:rFonts w:ascii="HelveticaNeueLT Pro 55 Roman" w:hAnsi="HelveticaNeueLT Pro 55 Roman"/>
        </w:rPr>
      </w:pPr>
      <w:r w:rsidRPr="00EC5A9C">
        <w:rPr>
          <w:rFonts w:ascii="HelveticaNeueLT Pro 55 Roman" w:hAnsi="HelveticaNeueLT Pro 55 Roman"/>
          <w:color w:val="2D2D2D"/>
          <w:sz w:val="20"/>
          <w:szCs w:val="20"/>
          <w:highlight w:val="white"/>
        </w:rPr>
        <w:t>Check what health or income protection insurance they have in place. There are a number of options available if you are not currently covered, but IPSE cautions that these policies often have a deferral period of three to four weeks and may not provide appropriate cover if you are forced to self-isolate.</w:t>
      </w:r>
      <w:bookmarkStart w:id="0" w:name="_GoBack"/>
      <w:bookmarkEnd w:id="0"/>
    </w:p>
    <w:sectPr w:rsidR="004F1F4E" w:rsidRPr="00EC5A9C" w:rsidSect="00EC5A9C">
      <w:headerReference w:type="default" r:id="rId14"/>
      <w:headerReference w:type="first" r:id="rId15"/>
      <w:footerReference w:type="first" r:id="rId16"/>
      <w:pgSz w:w="11906" w:h="16838"/>
      <w:pgMar w:top="1304" w:right="1440" w:bottom="124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25" w:rsidRDefault="00620925" w:rsidP="00620925">
      <w:pPr>
        <w:spacing w:line="240" w:lineRule="auto"/>
      </w:pPr>
      <w:r>
        <w:separator/>
      </w:r>
    </w:p>
  </w:endnote>
  <w:endnote w:type="continuationSeparator" w:id="0">
    <w:p w:rsidR="00620925" w:rsidRDefault="00620925" w:rsidP="00620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25" w:rsidRPr="001F0C1C" w:rsidRDefault="00EC5A9C">
    <w:pPr>
      <w:pStyle w:val="Footer"/>
      <w:rPr>
        <w:rFonts w:ascii="HelveticaNeueLT Pro 55 Roman" w:hAnsi="HelveticaNeueLT Pro 55 Roman"/>
        <w:b/>
        <w:sz w:val="20"/>
      </w:rPr>
    </w:pPr>
    <w:r>
      <w:rPr>
        <w:rFonts w:ascii="HelveticaNeueLT Pro 55 Roman" w:hAnsi="HelveticaNeueLT Pro 55 Roman"/>
        <w:b/>
        <w:sz w:val="20"/>
      </w:rPr>
      <w:t>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25" w:rsidRDefault="00620925" w:rsidP="00620925">
      <w:pPr>
        <w:spacing w:line="240" w:lineRule="auto"/>
      </w:pPr>
      <w:r>
        <w:separator/>
      </w:r>
    </w:p>
  </w:footnote>
  <w:footnote w:type="continuationSeparator" w:id="0">
    <w:p w:rsidR="00620925" w:rsidRDefault="00620925" w:rsidP="006209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25" w:rsidRDefault="00620925">
    <w:pPr>
      <w:pStyle w:val="Header"/>
    </w:pPr>
  </w:p>
  <w:p w:rsidR="00620925" w:rsidRDefault="00620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25" w:rsidRDefault="001F0C1C">
    <w:pPr>
      <w:pStyle w:val="Header"/>
    </w:pPr>
    <w:r w:rsidRPr="008A0A30">
      <w:rPr>
        <w:noProof/>
      </w:rPr>
      <w:drawing>
        <wp:anchor distT="0" distB="0" distL="114300" distR="114300" simplePos="0" relativeHeight="251659776" behindDoc="0" locked="0" layoutInCell="1" allowOverlap="1" wp14:anchorId="1D836D12" wp14:editId="55FC12A5">
          <wp:simplePos x="0" y="0"/>
          <wp:positionH relativeFrom="column">
            <wp:posOffset>-381000</wp:posOffset>
          </wp:positionH>
          <wp:positionV relativeFrom="paragraph">
            <wp:posOffset>-87630</wp:posOffset>
          </wp:positionV>
          <wp:extent cx="1219200" cy="1159510"/>
          <wp:effectExtent l="0" t="0" r="0" b="2540"/>
          <wp:wrapSquare wrapText="bothSides"/>
          <wp:docPr id="13" name="Picture 13" descr="http://intranet/Directorates/MCA/Marketing%20Strategy/CreativeServices/Documents/BFI_MONO_LOG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tranet/Directorates/MCA/Marketing%20Strategy/CreativeServices/Documents/BFI_MONO_LOGO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61A" w:rsidRPr="00620925">
      <w:rPr>
        <w:noProof/>
      </w:rPr>
      <mc:AlternateContent>
        <mc:Choice Requires="wps">
          <w:drawing>
            <wp:anchor distT="0" distB="0" distL="114300" distR="114300" simplePos="0" relativeHeight="251656704" behindDoc="0" locked="0" layoutInCell="1" allowOverlap="1" wp14:anchorId="5E0E4436" wp14:editId="645BB916">
              <wp:simplePos x="0" y="0"/>
              <wp:positionH relativeFrom="column">
                <wp:posOffset>3514725</wp:posOffset>
              </wp:positionH>
              <wp:positionV relativeFrom="paragraph">
                <wp:posOffset>140970</wp:posOffset>
              </wp:positionV>
              <wp:extent cx="2667000" cy="1343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A9C" w:rsidRDefault="00EC5A9C" w:rsidP="007A261A">
                          <w:pPr>
                            <w:jc w:val="right"/>
                            <w:rPr>
                              <w:rFonts w:ascii="HelveticaNeueLT Pro 55 Roman" w:hAnsi="HelveticaNeueLT Pro 55 Roman" w:cstheme="minorHAnsi"/>
                              <w:b/>
                              <w:sz w:val="48"/>
                            </w:rPr>
                          </w:pPr>
                          <w:r>
                            <w:rPr>
                              <w:rFonts w:ascii="HelveticaNeueLT Pro 55 Roman" w:hAnsi="HelveticaNeueLT Pro 55 Roman" w:cstheme="minorHAnsi"/>
                              <w:b/>
                              <w:sz w:val="48"/>
                            </w:rPr>
                            <w:t>BUDGET 2020</w:t>
                          </w:r>
                        </w:p>
                        <w:p w:rsidR="007A261A" w:rsidRPr="001F0C1C" w:rsidRDefault="00620925" w:rsidP="007A261A">
                          <w:pPr>
                            <w:jc w:val="right"/>
                            <w:rPr>
                              <w:rFonts w:ascii="HelveticaNeueLT Pro 55 Roman" w:hAnsi="HelveticaNeueLT Pro 55 Roman" w:cstheme="minorHAnsi"/>
                              <w:b/>
                              <w:sz w:val="48"/>
                            </w:rPr>
                          </w:pPr>
                          <w:r w:rsidRPr="001F0C1C">
                            <w:rPr>
                              <w:rFonts w:ascii="HelveticaNeueLT Pro 55 Roman" w:hAnsi="HelveticaNeueLT Pro 55 Roman" w:cstheme="minorHAnsi"/>
                              <w:b/>
                              <w:sz w:val="48"/>
                            </w:rPr>
                            <w:t>BRIEFING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E4436" id="_x0000_t202" coordsize="21600,21600" o:spt="202" path="m,l,21600r21600,l21600,xe">
              <v:stroke joinstyle="miter"/>
              <v:path gradientshapeok="t" o:connecttype="rect"/>
            </v:shapetype>
            <v:shape id="Text Box 2" o:spid="_x0000_s1026" type="#_x0000_t202" style="position:absolute;margin-left:276.75pt;margin-top:11.1pt;width:210pt;height:10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" stroked="f">
              <v:textbox>
                <w:txbxContent>
                  <w:p w:rsidR="00EC5A9C" w:rsidRDefault="00EC5A9C" w:rsidP="007A261A">
                    <w:pPr>
                      <w:jc w:val="right"/>
                      <w:rPr>
                        <w:rFonts w:ascii="HelveticaNeueLT Pro 55 Roman" w:hAnsi="HelveticaNeueLT Pro 55 Roman" w:cstheme="minorHAnsi"/>
                        <w:b/>
                        <w:sz w:val="48"/>
                      </w:rPr>
                    </w:pPr>
                    <w:r>
                      <w:rPr>
                        <w:rFonts w:ascii="HelveticaNeueLT Pro 55 Roman" w:hAnsi="HelveticaNeueLT Pro 55 Roman" w:cstheme="minorHAnsi"/>
                        <w:b/>
                        <w:sz w:val="48"/>
                      </w:rPr>
                      <w:t>BUDGET 2020</w:t>
                    </w:r>
                  </w:p>
                  <w:p w:rsidR="007A261A" w:rsidRPr="001F0C1C" w:rsidRDefault="00620925" w:rsidP="007A261A">
                    <w:pPr>
                      <w:jc w:val="right"/>
                      <w:rPr>
                        <w:rFonts w:ascii="HelveticaNeueLT Pro 55 Roman" w:hAnsi="HelveticaNeueLT Pro 55 Roman" w:cstheme="minorHAnsi"/>
                        <w:b/>
                        <w:sz w:val="48"/>
                      </w:rPr>
                    </w:pPr>
                    <w:r w:rsidRPr="001F0C1C">
                      <w:rPr>
                        <w:rFonts w:ascii="HelveticaNeueLT Pro 55 Roman" w:hAnsi="HelveticaNeueLT Pro 55 Roman" w:cstheme="minorHAnsi"/>
                        <w:b/>
                        <w:sz w:val="48"/>
                      </w:rPr>
                      <w:t>BRIEFING</w:t>
                    </w:r>
                  </w:p>
                </w:txbxContent>
              </v:textbox>
            </v:shape>
          </w:pict>
        </mc:Fallback>
      </mc:AlternateContent>
    </w:r>
  </w:p>
  <w:p w:rsidR="00620925" w:rsidRDefault="00620925">
    <w:pPr>
      <w:pStyle w:val="Header"/>
    </w:pPr>
  </w:p>
  <w:p w:rsidR="00620925" w:rsidRDefault="00620925">
    <w:pPr>
      <w:pStyle w:val="Header"/>
    </w:pPr>
  </w:p>
  <w:p w:rsidR="00620925" w:rsidRDefault="00620925">
    <w:pPr>
      <w:pStyle w:val="Header"/>
    </w:pPr>
  </w:p>
  <w:p w:rsidR="00620925" w:rsidRDefault="00620925">
    <w:pPr>
      <w:pStyle w:val="Header"/>
    </w:pPr>
  </w:p>
  <w:p w:rsidR="00620925" w:rsidRDefault="00620925">
    <w:pPr>
      <w:pStyle w:val="Header"/>
    </w:pPr>
  </w:p>
  <w:p w:rsidR="00620925" w:rsidRDefault="00620925">
    <w:pPr>
      <w:pStyle w:val="Header"/>
    </w:pPr>
  </w:p>
  <w:p w:rsidR="00620925" w:rsidRPr="001F0C1C" w:rsidRDefault="00620925" w:rsidP="00620925">
    <w:pPr>
      <w:pStyle w:val="Header"/>
      <w:ind w:hanging="426"/>
      <w:rPr>
        <w:rFonts w:ascii="HelveticaNeueLT Pro 55 Roman" w:hAnsi="HelveticaNeueLT Pro 55 Roman"/>
        <w:sz w:val="20"/>
      </w:rPr>
    </w:pPr>
    <w:r w:rsidRPr="001F0C1C">
      <w:rPr>
        <w:rFonts w:ascii="HelveticaNeueLT Pro 55 Roman" w:hAnsi="HelveticaNeueLT Pro 55 Roman" w:cstheme="minorHAnsi"/>
        <w:b/>
        <w:sz w:val="20"/>
      </w:rPr>
      <w:t>BFI EXTERNAL AFFAIRS –</w:t>
    </w:r>
    <w:r w:rsidR="00242D09" w:rsidRPr="001F0C1C">
      <w:rPr>
        <w:rFonts w:ascii="HelveticaNeueLT Pro 55 Roman" w:hAnsi="HelveticaNeueLT Pro 55 Roman" w:cstheme="minorHAnsi"/>
        <w:b/>
        <w:sz w:val="20"/>
      </w:rPr>
      <w:t xml:space="preserve"> 20</w:t>
    </w:r>
    <w:r w:rsidR="00ED6073">
      <w:rPr>
        <w:rFonts w:ascii="HelveticaNeueLT Pro 55 Roman" w:hAnsi="HelveticaNeueLT Pro 55 Roman" w:cstheme="minorHAnsi"/>
        <w:b/>
        <w:sz w:val="20"/>
      </w:rPr>
      <w:t>20</w:t>
    </w:r>
  </w:p>
  <w:p w:rsidR="00620925" w:rsidRDefault="00620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160FB"/>
    <w:multiLevelType w:val="multilevel"/>
    <w:tmpl w:val="A6C43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B42E89"/>
    <w:multiLevelType w:val="multilevel"/>
    <w:tmpl w:val="0E204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9F7C76"/>
    <w:multiLevelType w:val="multilevel"/>
    <w:tmpl w:val="42A04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7623D1"/>
    <w:multiLevelType w:val="multilevel"/>
    <w:tmpl w:val="7BB2F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25"/>
    <w:rsid w:val="0018086C"/>
    <w:rsid w:val="001F0C1C"/>
    <w:rsid w:val="00242D09"/>
    <w:rsid w:val="00425787"/>
    <w:rsid w:val="00433E04"/>
    <w:rsid w:val="00557D3E"/>
    <w:rsid w:val="00620925"/>
    <w:rsid w:val="00671998"/>
    <w:rsid w:val="007A261A"/>
    <w:rsid w:val="009304CA"/>
    <w:rsid w:val="009A5434"/>
    <w:rsid w:val="009C302D"/>
    <w:rsid w:val="00B5706F"/>
    <w:rsid w:val="00C065D1"/>
    <w:rsid w:val="00C52859"/>
    <w:rsid w:val="00DE350C"/>
    <w:rsid w:val="00EC5A9C"/>
    <w:rsid w:val="00ED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F7A4250-4A04-4D11-87BB-A4DE9462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5A9C"/>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925"/>
    <w:pPr>
      <w:tabs>
        <w:tab w:val="center" w:pos="4513"/>
        <w:tab w:val="right" w:pos="9026"/>
      </w:tabs>
      <w:spacing w:line="240" w:lineRule="auto"/>
    </w:pPr>
  </w:style>
  <w:style w:type="character" w:customStyle="1" w:styleId="HeaderChar">
    <w:name w:val="Header Char"/>
    <w:basedOn w:val="DefaultParagraphFont"/>
    <w:link w:val="Header"/>
    <w:uiPriority w:val="99"/>
    <w:rsid w:val="00620925"/>
  </w:style>
  <w:style w:type="paragraph" w:styleId="Footer">
    <w:name w:val="footer"/>
    <w:basedOn w:val="Normal"/>
    <w:link w:val="FooterChar"/>
    <w:uiPriority w:val="99"/>
    <w:unhideWhenUsed/>
    <w:rsid w:val="00620925"/>
    <w:pPr>
      <w:tabs>
        <w:tab w:val="center" w:pos="4513"/>
        <w:tab w:val="right" w:pos="9026"/>
      </w:tabs>
      <w:spacing w:line="240" w:lineRule="auto"/>
    </w:pPr>
  </w:style>
  <w:style w:type="character" w:customStyle="1" w:styleId="FooterChar">
    <w:name w:val="Footer Char"/>
    <w:basedOn w:val="DefaultParagraphFont"/>
    <w:link w:val="Footer"/>
    <w:uiPriority w:val="99"/>
    <w:rsid w:val="0062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49166">
      <w:bodyDiv w:val="1"/>
      <w:marLeft w:val="0"/>
      <w:marRight w:val="0"/>
      <w:marTop w:val="0"/>
      <w:marBottom w:val="0"/>
      <w:divBdr>
        <w:top w:val="none" w:sz="0" w:space="0" w:color="auto"/>
        <w:left w:val="none" w:sz="0" w:space="0" w:color="auto"/>
        <w:bottom w:val="none" w:sz="0" w:space="0" w:color="auto"/>
        <w:right w:val="none" w:sz="0" w:space="0" w:color="auto"/>
      </w:divBdr>
    </w:div>
    <w:div w:id="1280450693">
      <w:bodyDiv w:val="1"/>
      <w:marLeft w:val="0"/>
      <w:marRight w:val="0"/>
      <w:marTop w:val="0"/>
      <w:marBottom w:val="0"/>
      <w:divBdr>
        <w:top w:val="none" w:sz="0" w:space="0" w:color="auto"/>
        <w:left w:val="none" w:sz="0" w:space="0" w:color="auto"/>
        <w:bottom w:val="none" w:sz="0" w:space="0" w:color="auto"/>
        <w:right w:val="none" w:sz="0" w:space="0" w:color="auto"/>
      </w:divBdr>
      <w:divsChild>
        <w:div w:id="92944150">
          <w:marLeft w:val="0"/>
          <w:marRight w:val="0"/>
          <w:marTop w:val="0"/>
          <w:marBottom w:val="0"/>
          <w:divBdr>
            <w:top w:val="none" w:sz="0" w:space="0" w:color="auto"/>
            <w:left w:val="none" w:sz="0" w:space="0" w:color="auto"/>
            <w:bottom w:val="none" w:sz="0" w:space="0" w:color="auto"/>
            <w:right w:val="none" w:sz="0" w:space="0" w:color="auto"/>
          </w:divBdr>
          <w:divsChild>
            <w:div w:id="1490756947">
              <w:marLeft w:val="0"/>
              <w:marRight w:val="0"/>
              <w:marTop w:val="0"/>
              <w:marBottom w:val="0"/>
              <w:divBdr>
                <w:top w:val="none" w:sz="0" w:space="0" w:color="auto"/>
                <w:left w:val="none" w:sz="0" w:space="0" w:color="auto"/>
                <w:bottom w:val="none" w:sz="0" w:space="0" w:color="auto"/>
                <w:right w:val="none" w:sz="0" w:space="0" w:color="auto"/>
              </w:divBdr>
              <w:divsChild>
                <w:div w:id="1165512415">
                  <w:marLeft w:val="0"/>
                  <w:marRight w:val="0"/>
                  <w:marTop w:val="0"/>
                  <w:marBottom w:val="0"/>
                  <w:divBdr>
                    <w:top w:val="none" w:sz="0" w:space="0" w:color="auto"/>
                    <w:left w:val="none" w:sz="0" w:space="0" w:color="auto"/>
                    <w:bottom w:val="none" w:sz="0" w:space="0" w:color="auto"/>
                    <w:right w:val="none" w:sz="0" w:space="0" w:color="auto"/>
                  </w:divBdr>
                  <w:divsChild>
                    <w:div w:id="1085036789">
                      <w:marLeft w:val="0"/>
                      <w:marRight w:val="0"/>
                      <w:marTop w:val="0"/>
                      <w:marBottom w:val="0"/>
                      <w:divBdr>
                        <w:top w:val="none" w:sz="0" w:space="0" w:color="auto"/>
                        <w:left w:val="none" w:sz="0" w:space="0" w:color="auto"/>
                        <w:bottom w:val="none" w:sz="0" w:space="0" w:color="auto"/>
                        <w:right w:val="none" w:sz="0" w:space="0" w:color="auto"/>
                      </w:divBdr>
                      <w:divsChild>
                        <w:div w:id="55395831">
                          <w:marLeft w:val="0"/>
                          <w:marRight w:val="0"/>
                          <w:marTop w:val="0"/>
                          <w:marBottom w:val="0"/>
                          <w:divBdr>
                            <w:top w:val="none" w:sz="0" w:space="0" w:color="auto"/>
                            <w:left w:val="none" w:sz="0" w:space="0" w:color="auto"/>
                            <w:bottom w:val="none" w:sz="0" w:space="0" w:color="auto"/>
                            <w:right w:val="none" w:sz="0" w:space="0" w:color="auto"/>
                          </w:divBdr>
                          <w:divsChild>
                            <w:div w:id="11615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mployment-support-allowance" TargetMode="External"/><Relationship Id="rId13" Type="http://schemas.openxmlformats.org/officeDocument/2006/relationships/hyperlink" Target="https://www.ipse.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news/coronavirus-covid-19-guidance-for-employees-employers-and-businesses" TargetMode="External"/><Relationship Id="rId12" Type="http://schemas.openxmlformats.org/officeDocument/2006/relationships/hyperlink" Target="https://www.rbs.com/rbs/news/2020/03/natwest-pledges-p5bn-working-capital-support-for-smes-during-cor.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loydsbankinggroup.com/Media/Press-Releases/2020-press-releases/lloyds-banking-group/lloyds-banking-group-ready-to-support-uk-small-businesses-impacted-by-covid-1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ukfinance.org.uk/press/press-releases/banking-and-finance-industry-announces-support-customers-and-sme-businesses-impacted-covid-19" TargetMode="External"/><Relationship Id="rId4" Type="http://schemas.openxmlformats.org/officeDocument/2006/relationships/webSettings" Target="webSettings.xml"/><Relationship Id="rId9" Type="http://schemas.openxmlformats.org/officeDocument/2006/relationships/hyperlink" Target="https://www.gov.uk/universal-cred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PEARSONN</dc:creator>
  <cp:keywords/>
  <dc:description/>
  <cp:lastModifiedBy>PEARSONN</cp:lastModifiedBy>
  <cp:revision>2</cp:revision>
  <cp:lastPrinted>2019-04-08T15:28:00Z</cp:lastPrinted>
  <dcterms:created xsi:type="dcterms:W3CDTF">2020-03-13T16:21:00Z</dcterms:created>
  <dcterms:modified xsi:type="dcterms:W3CDTF">2020-03-13T16:21:00Z</dcterms:modified>
</cp:coreProperties>
</file>